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09F4" w14:textId="77777777" w:rsidR="00566911" w:rsidRPr="003D394C" w:rsidRDefault="00566911" w:rsidP="00566911">
      <w:pPr>
        <w:rPr>
          <w:rFonts w:ascii="Times New Roman" w:hAnsi="Times New Roman" w:cs="Times New Roman"/>
          <w:lang w:val="et-EE"/>
        </w:rPr>
      </w:pPr>
      <w:r w:rsidRPr="00DB5C42">
        <w:rPr>
          <w:rFonts w:ascii="Times New Roman" w:hAnsi="Times New Roman" w:cs="Times New Roman"/>
          <w:b/>
          <w:bCs/>
          <w:lang w:val="et-EE"/>
        </w:rPr>
        <w:t xml:space="preserve">Lisa </w:t>
      </w:r>
      <w:r>
        <w:rPr>
          <w:rFonts w:ascii="Times New Roman" w:hAnsi="Times New Roman" w:cs="Times New Roman"/>
          <w:b/>
          <w:bCs/>
          <w:lang w:val="et-EE"/>
        </w:rPr>
        <w:t>5</w:t>
      </w:r>
    </w:p>
    <w:p w14:paraId="72A9A822" w14:textId="77777777" w:rsidR="00566911" w:rsidRPr="00DB5C42" w:rsidRDefault="00566911" w:rsidP="00566911">
      <w:pPr>
        <w:rPr>
          <w:rFonts w:ascii="Times New Roman" w:hAnsi="Times New Roman" w:cs="Times New Roman"/>
          <w:lang w:val="et-EE"/>
        </w:rPr>
      </w:pPr>
      <w:r w:rsidRPr="00DB5C42">
        <w:rPr>
          <w:rFonts w:ascii="Times New Roman" w:hAnsi="Times New Roman" w:cs="Times New Roman"/>
          <w:b/>
          <w:bCs/>
          <w:lang w:val="et-EE"/>
        </w:rPr>
        <w:t>T</w:t>
      </w:r>
      <w:r>
        <w:rPr>
          <w:rFonts w:ascii="Times New Roman" w:hAnsi="Times New Roman" w:cs="Times New Roman"/>
          <w:b/>
          <w:bCs/>
          <w:lang w:val="et-EE"/>
        </w:rPr>
        <w:t xml:space="preserve">ugiteenuste </w:t>
      </w:r>
      <w:r w:rsidRPr="00DB5C42">
        <w:rPr>
          <w:rFonts w:ascii="Times New Roman" w:hAnsi="Times New Roman" w:cs="Times New Roman"/>
          <w:b/>
          <w:bCs/>
          <w:lang w:val="et-EE"/>
        </w:rPr>
        <w:t>komponentide loetelu</w:t>
      </w:r>
    </w:p>
    <w:p w14:paraId="71A42007" w14:textId="77777777" w:rsidR="00566911" w:rsidRPr="00E04079" w:rsidRDefault="00566911" w:rsidP="00566911">
      <w:pPr>
        <w:spacing w:after="141"/>
        <w:ind w:left="10" w:right="-15" w:hanging="1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Tugit</w:t>
      </w:r>
      <w:r w:rsidRPr="00DB5C42">
        <w:rPr>
          <w:rFonts w:ascii="Times New Roman" w:hAnsi="Times New Roman" w:cs="Times New Roman"/>
          <w:lang w:val="et-EE"/>
        </w:rPr>
        <w:t>eenus</w:t>
      </w:r>
      <w:r>
        <w:rPr>
          <w:rFonts w:ascii="Times New Roman" w:hAnsi="Times New Roman" w:cs="Times New Roman"/>
          <w:lang w:val="et-EE"/>
        </w:rPr>
        <w:t xml:space="preserve">te </w:t>
      </w:r>
      <w:r w:rsidRPr="00DB5C42">
        <w:rPr>
          <w:rFonts w:ascii="Times New Roman" w:hAnsi="Times New Roman" w:cs="Times New Roman"/>
          <w:lang w:val="et-EE"/>
        </w:rPr>
        <w:t xml:space="preserve">komponentide loetelu annab täpse ülevaate teenuse planeerimiseks vajalikest </w:t>
      </w:r>
      <w:r>
        <w:rPr>
          <w:rFonts w:ascii="Times New Roman" w:hAnsi="Times New Roman" w:cs="Times New Roman"/>
          <w:lang w:val="et-EE"/>
        </w:rPr>
        <w:t>tugi</w:t>
      </w:r>
      <w:r w:rsidRPr="00DB5C42">
        <w:rPr>
          <w:rFonts w:ascii="Times New Roman" w:hAnsi="Times New Roman" w:cs="Times New Roman"/>
          <w:lang w:val="et-EE"/>
        </w:rPr>
        <w:t>teenus</w:t>
      </w:r>
      <w:r>
        <w:rPr>
          <w:rFonts w:ascii="Times New Roman" w:hAnsi="Times New Roman" w:cs="Times New Roman"/>
          <w:lang w:val="et-EE"/>
        </w:rPr>
        <w:t xml:space="preserve">te </w:t>
      </w:r>
      <w:r w:rsidRPr="00DB5C42">
        <w:rPr>
          <w:rFonts w:ascii="Times New Roman" w:hAnsi="Times New Roman" w:cs="Times New Roman"/>
          <w:lang w:val="et-EE"/>
        </w:rPr>
        <w:t>komponentidest.</w:t>
      </w:r>
      <w:r>
        <w:rPr>
          <w:rFonts w:ascii="Times New Roman" w:hAnsi="Times New Roman" w:cs="Times New Roman"/>
          <w:lang w:val="et-EE"/>
        </w:rPr>
        <w:t xml:space="preserve"> Tugi</w:t>
      </w:r>
      <w:r w:rsidRPr="00DB5C42">
        <w:rPr>
          <w:rFonts w:ascii="Times New Roman" w:hAnsi="Times New Roman" w:cs="Times New Roman"/>
          <w:lang w:val="et-EE"/>
        </w:rPr>
        <w:t>teenus</w:t>
      </w:r>
      <w:r>
        <w:rPr>
          <w:rFonts w:ascii="Times New Roman" w:hAnsi="Times New Roman" w:cs="Times New Roman"/>
          <w:lang w:val="et-EE"/>
        </w:rPr>
        <w:t xml:space="preserve">te </w:t>
      </w:r>
      <w:r w:rsidRPr="00DB5C42">
        <w:rPr>
          <w:rFonts w:ascii="Times New Roman" w:hAnsi="Times New Roman" w:cs="Times New Roman"/>
          <w:lang w:val="et-EE"/>
        </w:rPr>
        <w:t xml:space="preserve">komponente võivad pakkuda erinevad teenuseosutajad ja pakkumust ei pea esitama kõigi teenuste osade osutamiseks. </w:t>
      </w:r>
      <w:r w:rsidRPr="00E04079">
        <w:rPr>
          <w:rFonts w:ascii="Times New Roman" w:hAnsi="Times New Roman"/>
          <w:iCs/>
          <w:lang w:val="et-EE"/>
        </w:rPr>
        <w:t>Sotsiaalkindlustusameti poolt kinnitatud maksumus</w:t>
      </w:r>
      <w:r>
        <w:rPr>
          <w:rFonts w:ascii="Times New Roman" w:hAnsi="Times New Roman"/>
          <w:iCs/>
          <w:lang w:val="et-EE"/>
        </w:rPr>
        <w:t xml:space="preserve"> (Lisa 4)</w:t>
      </w:r>
      <w:r w:rsidRPr="00E04079">
        <w:rPr>
          <w:rFonts w:ascii="Times New Roman" w:hAnsi="Times New Roman"/>
          <w:iCs/>
          <w:lang w:val="et-EE"/>
        </w:rPr>
        <w:t xml:space="preserve"> märkida selle teenuse juurde, millist teenust soovite osutada. Eraldi hin</w:t>
      </w:r>
      <w:r>
        <w:rPr>
          <w:rFonts w:ascii="Times New Roman" w:hAnsi="Times New Roman"/>
          <w:iCs/>
          <w:lang w:val="et-EE"/>
        </w:rPr>
        <w:t>d</w:t>
      </w:r>
      <w:r w:rsidRPr="00E04079">
        <w:rPr>
          <w:rFonts w:ascii="Times New Roman" w:hAnsi="Times New Roman"/>
          <w:iCs/>
          <w:lang w:val="et-EE"/>
        </w:rPr>
        <w:t xml:space="preserve"> </w:t>
      </w:r>
      <w:r>
        <w:rPr>
          <w:rFonts w:ascii="Times New Roman" w:hAnsi="Times New Roman"/>
          <w:iCs/>
          <w:lang w:val="et-EE"/>
        </w:rPr>
        <w:t>tuleb</w:t>
      </w:r>
      <w:r w:rsidRPr="00E04079">
        <w:rPr>
          <w:rFonts w:ascii="Times New Roman" w:hAnsi="Times New Roman"/>
          <w:iCs/>
          <w:lang w:val="et-EE"/>
        </w:rPr>
        <w:t xml:space="preserve"> pakkuda tegevusele projektis osalejaga, tegevusele pereliikmega ja tegevusele grupis kui tegevuse läbiviimise võimalus on märgitud kolmel erineval moel.</w:t>
      </w:r>
    </w:p>
    <w:p w14:paraId="406D9A2A" w14:textId="77777777" w:rsidR="00566911" w:rsidRPr="00DB5C42" w:rsidRDefault="00566911" w:rsidP="00566911">
      <w:pPr>
        <w:spacing w:after="142"/>
        <w:rPr>
          <w:rFonts w:ascii="Times New Roman" w:eastAsia="MS Mincho" w:hAnsi="Times New Roman"/>
          <w:b/>
          <w:lang w:val="et-EE"/>
        </w:rPr>
      </w:pPr>
      <w:r w:rsidRPr="00DB5C42">
        <w:rPr>
          <w:rFonts w:ascii="Times New Roman" w:eastAsia="MS Mincho" w:hAnsi="Times New Roman"/>
          <w:b/>
          <w:lang w:val="et-EE"/>
        </w:rPr>
        <w:t xml:space="preserve">Esitame pakkumuse järgnevate </w:t>
      </w:r>
      <w:r>
        <w:rPr>
          <w:rFonts w:ascii="Times New Roman" w:eastAsia="MS Mincho" w:hAnsi="Times New Roman"/>
          <w:b/>
          <w:u w:val="single"/>
          <w:lang w:val="et-EE"/>
        </w:rPr>
        <w:t>tugiteenuse</w:t>
      </w:r>
      <w:r w:rsidRPr="00DB5C42">
        <w:rPr>
          <w:rFonts w:ascii="Times New Roman" w:eastAsia="MS Mincho" w:hAnsi="Times New Roman"/>
          <w:b/>
          <w:u w:val="single"/>
          <w:lang w:val="et-EE"/>
        </w:rPr>
        <w:t xml:space="preserve"> komponentide</w:t>
      </w:r>
      <w:r w:rsidRPr="00DB5C42">
        <w:rPr>
          <w:rFonts w:ascii="Times New Roman" w:eastAsia="MS Mincho" w:hAnsi="Times New Roman"/>
          <w:b/>
          <w:lang w:val="et-EE"/>
        </w:rPr>
        <w:t xml:space="preserve"> osutamiseks</w:t>
      </w:r>
    </w:p>
    <w:p w14:paraId="47C00D35" w14:textId="77777777" w:rsidR="00566911" w:rsidRPr="00DB5C42" w:rsidRDefault="00566911" w:rsidP="00566911">
      <w:pPr>
        <w:spacing w:after="142"/>
        <w:rPr>
          <w:rFonts w:ascii="Times New Roman" w:hAnsi="Times New Roman"/>
          <w:i/>
          <w:lang w:val="et-EE"/>
        </w:rPr>
      </w:pPr>
      <w:r w:rsidRPr="00DB5C42">
        <w:rPr>
          <w:rFonts w:ascii="Times New Roman" w:hAnsi="Times New Roman"/>
          <w:i/>
          <w:lang w:val="et-EE"/>
        </w:rPr>
        <w:t>*Üks tund -  60 minutit teenust</w:t>
      </w:r>
    </w:p>
    <w:tbl>
      <w:tblPr>
        <w:tblW w:w="492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542"/>
        <w:gridCol w:w="9130"/>
        <w:gridCol w:w="1792"/>
      </w:tblGrid>
      <w:tr w:rsidR="00566911" w:rsidRPr="00012103" w14:paraId="4006F274" w14:textId="77777777" w:rsidTr="002242D2">
        <w:trPr>
          <w:trHeight w:val="396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2DC77CD4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t-EE"/>
              </w:rPr>
            </w:pPr>
            <w:r w:rsidRPr="0001210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t-EE"/>
              </w:rPr>
              <w:t>TUGITEENUSE KOMPONENDID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t-EE"/>
              </w:rPr>
              <w:t xml:space="preserve"> </w:t>
            </w:r>
          </w:p>
          <w:p w14:paraId="590C8AEF" w14:textId="77777777" w:rsidR="00566911" w:rsidRPr="00012103" w:rsidRDefault="00566911" w:rsidP="002242D2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br/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Tugiteenuse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eesmärk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tagada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paindlikkus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terviklik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lähenemine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teenuse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sisu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planeerimisel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, mis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arvestaks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kõiki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eluvaldkondi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. </w:t>
            </w:r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br/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Komponendipõhine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lähenemine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võimaldab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kombineerida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ühte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teenussüsteemi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nii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tänaseid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erihoolekande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rehabilitatsiooniteenuse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sarnaseid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sisutegevusi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kui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ka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kogukonna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ressursse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.</w:t>
            </w:r>
          </w:p>
          <w:p w14:paraId="513ADC53" w14:textId="77777777" w:rsidR="00566911" w:rsidRPr="00012103" w:rsidRDefault="00566911" w:rsidP="002242D2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</w:pPr>
          </w:p>
          <w:p w14:paraId="5A232C66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Tugiteenuse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teenuskomponendi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osutaja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:</w:t>
            </w:r>
          </w:p>
          <w:p w14:paraId="126B3381" w14:textId="77777777" w:rsidR="00566911" w:rsidRPr="00012103" w:rsidRDefault="00566911" w:rsidP="00566911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vastutab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oma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teenuskomponendi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sisuliste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tegevuste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teenuskomponendi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kvaliteedi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eest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. </w:t>
            </w:r>
          </w:p>
          <w:p w14:paraId="35A3854D" w14:textId="77777777" w:rsidR="00566911" w:rsidRPr="00012103" w:rsidRDefault="00566911" w:rsidP="00566911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teeb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oma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tegevuste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läbiviimiseks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eesmärgi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täitmiseks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teenuskomponendi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sees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vajadusel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võrgustikutööd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Võrgustiku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all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mõeldakse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nii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inimese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lähivõrgustikku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pereliikmed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sõbrad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naabrid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jt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kui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formaalset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võrgustikku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omavalitsuse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sotsiaaltöötaja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teiste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teenuste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osutajad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perearst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tööandja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jt</w:t>
            </w:r>
            <w:proofErr w:type="spellEnd"/>
            <w:proofErr w:type="gramStart"/>
            <w:r w:rsidRPr="00012103">
              <w:rPr>
                <w:rFonts w:ascii="Arial" w:hAnsi="Arial" w:cs="Arial"/>
                <w:sz w:val="18"/>
                <w:szCs w:val="18"/>
              </w:rPr>
              <w:t>);</w:t>
            </w:r>
            <w:proofErr w:type="gramEnd"/>
          </w:p>
          <w:p w14:paraId="5D3D9F9B" w14:textId="77777777" w:rsidR="00566911" w:rsidRPr="00012103" w:rsidRDefault="00566911" w:rsidP="00566911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hindab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oma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tegevuse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mõju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tulemusi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  <w:t>.</w:t>
            </w:r>
          </w:p>
          <w:p w14:paraId="2020E5D6" w14:textId="77777777" w:rsidR="00566911" w:rsidRPr="00012103" w:rsidRDefault="00566911" w:rsidP="002242D2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</w:pPr>
          </w:p>
          <w:p w14:paraId="291E0521" w14:textId="77777777" w:rsidR="00566911" w:rsidRPr="00012103" w:rsidRDefault="00566911" w:rsidP="002242D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Teenuskomponendid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sisaldavad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eeltööd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otsest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tööd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inimesega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ja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järeltööd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vajadusel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dokumenteerimist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>.</w:t>
            </w:r>
            <w:r w:rsidRPr="0001210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Kõik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teenuskomponendi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läbiviimisega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kaasnevad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kulud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sisalduvad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selle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hAnsi="Arial" w:cs="Arial"/>
                <w:sz w:val="18"/>
                <w:szCs w:val="18"/>
              </w:rPr>
              <w:t>hinnas</w:t>
            </w:r>
            <w:proofErr w:type="spellEnd"/>
            <w:r w:rsidRPr="0001210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B79A47" w14:textId="77777777" w:rsidR="00566911" w:rsidRPr="00012103" w:rsidRDefault="00566911" w:rsidP="002242D2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1A68716" w14:textId="77777777" w:rsidR="00566911" w:rsidRPr="00012103" w:rsidRDefault="00566911" w:rsidP="002242D2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individuaalsed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ehk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teenuse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osutamine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ühele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inimesele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14:paraId="2C99230C" w14:textId="77777777" w:rsidR="00566911" w:rsidRPr="00012103" w:rsidRDefault="00566911" w:rsidP="002242D2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pereliikmega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suunatud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toetama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abistama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hoolduskoormusega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pereliikmeid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lähedasi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selle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ülesandega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toime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tulema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kuid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fookus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osalejal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14:paraId="09E244DA" w14:textId="77777777" w:rsidR="00566911" w:rsidRPr="00012103" w:rsidRDefault="00566911" w:rsidP="002242D2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grupis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kus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abivajajad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osalevad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tegevuses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grupina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mille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suurus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on 2-12 </w:t>
            </w:r>
            <w:proofErr w:type="spellStart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inimest</w:t>
            </w:r>
            <w:proofErr w:type="spellEnd"/>
            <w:r w:rsidRPr="00012103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14:paraId="4878093B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</w:pPr>
          </w:p>
        </w:tc>
      </w:tr>
      <w:tr w:rsidR="00566911" w:rsidRPr="00012103" w14:paraId="25628839" w14:textId="77777777" w:rsidTr="002242D2">
        <w:trPr>
          <w:trHeight w:val="660"/>
          <w:jc w:val="center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9013B2" w14:textId="77777777" w:rsidR="00566911" w:rsidRPr="00012103" w:rsidRDefault="00566911" w:rsidP="002242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  <w:p w14:paraId="63507F69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Komponent</w:t>
            </w:r>
            <w:proofErr w:type="spellEnd"/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34C0A1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</w:p>
        </w:tc>
        <w:tc>
          <w:tcPr>
            <w:tcW w:w="3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CEA007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Tegevuse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kirjeldus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DDE0794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  <w:p w14:paraId="49D5AD34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Tegevuses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osaleja</w:t>
            </w:r>
            <w:proofErr w:type="spellEnd"/>
          </w:p>
        </w:tc>
      </w:tr>
      <w:tr w:rsidR="00566911" w:rsidRPr="00012103" w14:paraId="36F3CB00" w14:textId="77777777" w:rsidTr="002242D2">
        <w:trPr>
          <w:trHeight w:val="1982"/>
          <w:jc w:val="center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0AE80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Sotsiaalsete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suhete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komponent</w:t>
            </w:r>
            <w:proofErr w:type="spellEnd"/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033C64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Sotsiaalsete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suhete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</w:p>
        </w:tc>
        <w:tc>
          <w:tcPr>
            <w:tcW w:w="3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0A4A4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Sotsiaalsete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suhete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soodustamine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loomine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säilitamine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: </w:t>
            </w:r>
          </w:p>
          <w:p w14:paraId="0328F907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a)    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lähedastega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suhete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taastamiseks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hoidmiseks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55E64607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b)    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alaealiste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lastega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suhete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taastamine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haiguse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tõttu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kannatanud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katkenud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suhete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taastamine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alaealiste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lastega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7E195521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c)    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vanade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sõprussuhete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taastamine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uute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sõprade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leidmine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ärakasutamise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ennetamine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2CE3DAFC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d)    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võimalused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piisav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turvaliste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seksuaal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paarisuhete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loomiseks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(UCLA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moodul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kasutuses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Maarjakülas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Tallinna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Keskuses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, HENK</w:t>
            </w:r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);</w:t>
            </w:r>
            <w:proofErr w:type="gramEnd"/>
          </w:p>
          <w:p w14:paraId="3C54C319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lastRenderedPageBreak/>
              <w:t xml:space="preserve">e)    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lapsevanemaks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olemisel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lapsevanemaks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vajalike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oskuste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arendamine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lapse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kasvatamisel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individuaalselt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kursused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tugigrupp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ole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lapsega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tugiisiku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teenuse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läbiviimine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mis 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kirjeldatud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Sotsiaalhoolekande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seaduses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KOV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teenusena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1ACD6FD9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8A289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lastRenderedPageBreak/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50</w:t>
            </w:r>
          </w:p>
          <w:p w14:paraId="3B903F48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50</w:t>
            </w:r>
          </w:p>
          <w:p w14:paraId="27D87B0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25</w:t>
            </w:r>
          </w:p>
        </w:tc>
      </w:tr>
      <w:tr w:rsidR="00566911" w:rsidRPr="00012103" w14:paraId="7E2F524D" w14:textId="77777777" w:rsidTr="002242D2">
        <w:trPr>
          <w:trHeight w:val="1124"/>
          <w:jc w:val="center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F9F95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komponent</w:t>
            </w:r>
            <w:proofErr w:type="spellEnd"/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59F623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sz w:val="18"/>
                <w:szCs w:val="18"/>
                <w:lang w:eastAsia="et-EE"/>
              </w:rPr>
              <w:t>Taastumise</w:t>
            </w:r>
            <w:proofErr w:type="spellEnd"/>
            <w:r w:rsidRPr="00012103">
              <w:rPr>
                <w:rFonts w:ascii="Arial" w:eastAsia="Times New Roman" w:hAnsi="Arial" w:cs="Arial"/>
                <w:b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b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b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haigusega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toimetuleku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</w:p>
        </w:tc>
        <w:tc>
          <w:tcPr>
            <w:tcW w:w="3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4482D7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mis on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suunatud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taastumisteekonna</w:t>
            </w:r>
            <w:proofErr w:type="spellEnd"/>
            <w:proofErr w:type="gram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protsesside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toetamiseks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.</w:t>
            </w:r>
          </w:p>
          <w:p w14:paraId="045C6221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a)    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alase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info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jagamine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digitaalselt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telefoni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teel)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teiste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tegevusi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läbi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viivate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praktikuteni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edasi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jõudmise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tagamine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.</w:t>
            </w:r>
          </w:p>
          <w:p w14:paraId="672D2E4E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b)    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Raviarstiga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koostöös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sobiva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ravi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seda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toetavate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taastumistegevuste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planeerimine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ohumärkide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plaani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kriisikaardi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koostamine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koostöös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oluliste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tugivõrgustiku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liikmetega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lähedased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õde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jt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).</w:t>
            </w:r>
          </w:p>
          <w:p w14:paraId="4B564784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c)     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haiguse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selle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sümptomite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ravi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ravimi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kõrvalmõjudega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toimetulekuks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haiguse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ägenemise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ennetamiseks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sümptomite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kontrolli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jms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grupiõppeprogrammid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.</w:t>
            </w:r>
          </w:p>
          <w:p w14:paraId="48028358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d)    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haiguse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mõjude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takistuste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stressi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negatiivsete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emotsioonidega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toimetulekuks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.</w:t>
            </w:r>
          </w:p>
          <w:p w14:paraId="2375B27E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e)    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Taastumiskursus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taastumise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mõtteviisi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arendamiseks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oma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loo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taastumisprotsessi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läbitöötamiseks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eesmärkide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läbimõtlemiseks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.</w:t>
            </w:r>
          </w:p>
          <w:p w14:paraId="754D5859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f)      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alane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psühhiaatria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õde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psühhiaater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)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sotsiaalne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teraapiad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nt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kognitiivne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remediatsioon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ajutreening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),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erinevad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loovteraapiad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tegevusteraapia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jms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.</w:t>
            </w:r>
          </w:p>
          <w:p w14:paraId="33434099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  <w:p w14:paraId="36120792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  <w:p w14:paraId="6CB94BA5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Pere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koolitus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alane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koolitus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grupinõustamine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perele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:</w:t>
            </w:r>
          </w:p>
          <w:p w14:paraId="1B97F074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informeerimine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emotsionaalne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praktiline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juhendamine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haiguse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sellest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tulenevate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piirangute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võimaluste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mõistmiseks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sobiva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toe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pakkumiseks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peresuhete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-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toetuse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optimeerimiseks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kriisiolukorras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käitumise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sobivate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strateegiate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õppimiseks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06131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55</w:t>
            </w:r>
          </w:p>
          <w:p w14:paraId="56CD607A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55</w:t>
            </w: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</w:p>
          <w:p w14:paraId="1FFB13B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30</w:t>
            </w:r>
          </w:p>
        </w:tc>
      </w:tr>
      <w:tr w:rsidR="00566911" w:rsidRPr="00012103" w14:paraId="64416CC9" w14:textId="77777777" w:rsidTr="002242D2">
        <w:trPr>
          <w:trHeight w:val="1261"/>
          <w:jc w:val="center"/>
        </w:trPr>
        <w:tc>
          <w:tcPr>
            <w:tcW w:w="4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54E7A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509DEC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motoorse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võimekuse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arendamine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säilitamine</w:t>
            </w:r>
            <w:proofErr w:type="spellEnd"/>
          </w:p>
          <w:p w14:paraId="7AC74D75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F382D4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Teenuskomponendi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suunatud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abivajajate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kognitiivsete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arendamiseks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säilitamiseks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nii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intellektipuudega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kui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tõsise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haigusega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Motoorse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võimekusega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tegelemine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aitab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kaasa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stabiilsusele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võimekuse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säilimisele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7AEEECA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  <w:p w14:paraId="3AF8F917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Teraapiad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vaimse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motoorse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võimekuse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säilitamiseks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arendamiseks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:</w:t>
            </w:r>
          </w:p>
          <w:p w14:paraId="7C78B31B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a)    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erinevad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loovteraapiad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3D7C0526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b)    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sotsiaalpedagoogi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eripedagoogi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logopeedi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alternatiivkommunikatsiooni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vahendite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kasutama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õppimine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– PCS,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piktogrammid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59DE63D6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c)    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sensoorse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interpretatsiooni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aistinguliste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iseärasuste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kaardistamine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sekkumiste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planeerimine</w:t>
            </w:r>
            <w:proofErr w:type="spellEnd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);</w:t>
            </w:r>
            <w:proofErr w:type="gramEnd"/>
          </w:p>
          <w:p w14:paraId="43A8EB33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d)    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sensoorne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dieet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meelte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tasakaalustamine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tunnetuslik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suhtlemine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4253D0EE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e)    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füsioteraapia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loomade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kaasamine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teraapiates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2483064A" w14:textId="77777777" w:rsidR="00566911" w:rsidRPr="00012103" w:rsidRDefault="00566911" w:rsidP="002242D2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f)      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erinevad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tegevusteraapilised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tegevusteraapia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519517D4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FFCC6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55</w:t>
            </w:r>
          </w:p>
          <w:p w14:paraId="6351332F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55</w:t>
            </w:r>
          </w:p>
          <w:p w14:paraId="3D258A8F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30</w:t>
            </w:r>
          </w:p>
        </w:tc>
      </w:tr>
      <w:tr w:rsidR="00566911" w:rsidRPr="00012103" w14:paraId="7064DF53" w14:textId="77777777" w:rsidTr="002242D2">
        <w:trPr>
          <w:trHeight w:val="839"/>
          <w:jc w:val="center"/>
        </w:trPr>
        <w:tc>
          <w:tcPr>
            <w:tcW w:w="4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36E2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14A19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Psühholoogiline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psühhoteraapia</w:t>
            </w:r>
            <w:proofErr w:type="spellEnd"/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4A4A9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psühhoteraapia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personaalse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identiteedi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tugevdamiseks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jõustamiseks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taastumisloo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läbitöötamiseks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stressi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emotsioonide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negatiivsete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mõtetega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toimetulekuks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keha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tunnetuseks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62AD995F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Psühholoogiline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psühhoteraapia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psüühilise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erivajadusega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hooldus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-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toetuskoormusega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kaasnevate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olukordadega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toimetulekuks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teraapia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koos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abivajava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38E1B145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lastRenderedPageBreak/>
              <w:t>Psühholoogiline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psüühikahäirega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vanema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alaealistele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lastele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noortele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individuaalne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laagrites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vm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).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A8327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lastRenderedPageBreak/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55</w:t>
            </w:r>
          </w:p>
          <w:p w14:paraId="3C6635E7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55</w:t>
            </w:r>
          </w:p>
          <w:p w14:paraId="382EA461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30</w:t>
            </w:r>
          </w:p>
        </w:tc>
      </w:tr>
      <w:tr w:rsidR="00566911" w:rsidRPr="00012103" w14:paraId="4394DD16" w14:textId="77777777" w:rsidTr="002242D2">
        <w:trPr>
          <w:trHeight w:val="841"/>
          <w:jc w:val="center"/>
        </w:trPr>
        <w:tc>
          <w:tcPr>
            <w:tcW w:w="4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54EE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F3050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Kogemus-nõustamine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 </w:t>
            </w:r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D3E95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saab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olla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psüühikahäire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sarnase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taastujast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kogemusnõustaja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poolt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saanud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vastava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ettevalmistuse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07C6CBF3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  <w:p w14:paraId="708AD961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vahel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toimuv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teadmiste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-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vahetus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mille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käigus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jagatakse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kogemuslikku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emotsionaalset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sotsiaalset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ja/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praktilist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vastavalt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sellele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mis 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isiku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eesmärgid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väljakutsed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Rääkimine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sarnase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taastumisprotsessi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läbi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teinud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Eesmärgiks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haiguse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ravimite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kõrvaltoimete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sümptomitega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toimetulekuks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haigusteadlikkuse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tõstmine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19C24F9C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  <w:p w14:paraId="4E74C067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Tugigrupp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eneseabigrupp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sarnase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probleemiga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haiguse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sümptomitega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toimetulekuks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erinevatele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probleemidele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psüühikahäirest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tulenevatele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piirangutele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diagnoosigruppidele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suunatud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depressiooni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suund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sõltuvus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häälte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kuulmine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Tugi-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eneseabigruppe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võivad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juhtida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spetsialistid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koos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kogemusnõustajaga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vastava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väljaõppega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kogemusnõustaja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üksi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70061A1D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  <w:p w14:paraId="3524BD8D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Tugigrupp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regulaarselt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toimuv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grupp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sarnaste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probleemidega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peredele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grupijuhtimisel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osalevad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koos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eriala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praktikutega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ka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kogemusnõustajad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5D889D2B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  <w:p w14:paraId="5D02576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Eneseabigrupp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sarnase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grupijuhina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tegutseb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tavapäraselt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kogemusnõustaja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kellel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kogemus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olla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samas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olukorras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pereliige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3DDF1F7F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  <w:p w14:paraId="33C81D4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  <w:p w14:paraId="1F1749D1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78C6C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55</w:t>
            </w:r>
          </w:p>
          <w:p w14:paraId="1452FF9A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55</w:t>
            </w: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</w:p>
          <w:p w14:paraId="4F246DCB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30</w:t>
            </w:r>
          </w:p>
        </w:tc>
      </w:tr>
      <w:tr w:rsidR="00566911" w:rsidRPr="00012103" w14:paraId="6A735989" w14:textId="77777777" w:rsidTr="002242D2">
        <w:trPr>
          <w:trHeight w:val="416"/>
          <w:jc w:val="center"/>
        </w:trPr>
        <w:tc>
          <w:tcPr>
            <w:tcW w:w="4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74C0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75C8D6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Riski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- ja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probleemse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käitumise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juhtimine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807A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Etteplaneeritud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kavandatud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esineva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riski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-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probleemse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käitumise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maandamiseks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olukordade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ennetamiseks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 </w:t>
            </w:r>
          </w:p>
          <w:p w14:paraId="5B9B8DC7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Riskijuhtimine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riskikäitumise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hindamine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juhtimine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riskide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hindamine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kahjustava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sündmuse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ennetamiseks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enda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hooletusse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jätmine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suitsiid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agressiivsus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oht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lastele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planeerimine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olemasolevate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riskide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ohjamiseks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kõigi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seotud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osapoolte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kaitsmiseks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Koostatakse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vajadusel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ohumärkide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plaan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kriisikaart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CARe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metoodika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alusel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).</w:t>
            </w:r>
          </w:p>
          <w:p w14:paraId="799AF3BD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  <w:p w14:paraId="4885A1CE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Probleemse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käitumise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juhtimine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käitumiseksperdi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tugimeeskonnale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probleemse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käitumise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mõistmiseks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korrigeerimiseks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emotsioonide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negatiivsete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mõtetega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toimetulekuks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499D3753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  <w:p w14:paraId="2F603CAD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ettevalmistus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kriisiolukorraks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harjutamine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õpetamine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kriitilistes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olukordades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käituma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 -</w:t>
            </w:r>
            <w:proofErr w:type="gram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turvalisuse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tagamise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kutsumise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oskused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1A04844E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45471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55</w:t>
            </w:r>
          </w:p>
          <w:p w14:paraId="50383E0E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55</w:t>
            </w: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</w:p>
          <w:p w14:paraId="18B1721C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566911" w:rsidRPr="00012103" w14:paraId="480F19DF" w14:textId="77777777" w:rsidTr="002242D2">
        <w:trPr>
          <w:trHeight w:val="915"/>
          <w:jc w:val="center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ED3E7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Füüsilise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komponent</w:t>
            </w:r>
            <w:proofErr w:type="spellEnd"/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543DC8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Füüsilise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alane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toetus</w:t>
            </w:r>
            <w:proofErr w:type="spellEnd"/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D2D49C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Füüsilise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eest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hoolitsemise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motiveerimine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tervislike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eluviiside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tagamiseks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füüsiline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aktiivsus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toitumine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tervislikud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eluviisid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Tervishoiuteenustega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jooksev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igapäevavajadustega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seonduvalt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kontakti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loomine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hoidmine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ja 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seostamine</w:t>
            </w:r>
            <w:proofErr w:type="spellEnd"/>
            <w:proofErr w:type="gram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pereõde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perearst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arstidega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kontakti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loomine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vajadusel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retseptide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ravimitega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seonduvad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).</w:t>
            </w:r>
          </w:p>
          <w:p w14:paraId="30332BEE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291956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</w:t>
            </w:r>
          </w:p>
          <w:p w14:paraId="61BDC3D8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50</w:t>
            </w: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25</w:t>
            </w:r>
          </w:p>
        </w:tc>
      </w:tr>
      <w:tr w:rsidR="00566911" w:rsidRPr="00012103" w14:paraId="43155E58" w14:textId="77777777" w:rsidTr="002242D2">
        <w:trPr>
          <w:trHeight w:val="768"/>
          <w:jc w:val="center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6924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BAE377C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Füüsilise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aktiivsuse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</w:p>
        </w:tc>
        <w:tc>
          <w:tcPr>
            <w:tcW w:w="3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936CBC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Sportimis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-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liikumisvõimaluste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soodustamine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: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värskes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õhus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viibimise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sportimisvõimaluste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leidmise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</w:p>
          <w:p w14:paraId="23BF3639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lastRenderedPageBreak/>
              <w:t>Liikumisharjumuste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kujundamine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, -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parandamise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säilimise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võimetele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sobiva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liikumisvõimaluse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leidmise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8FFEF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lastRenderedPageBreak/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</w:t>
            </w:r>
          </w:p>
          <w:p w14:paraId="24348CBE" w14:textId="77777777" w:rsidR="00566911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lastRenderedPageBreak/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</w:t>
            </w:r>
          </w:p>
          <w:p w14:paraId="0F080E3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25</w:t>
            </w:r>
          </w:p>
        </w:tc>
      </w:tr>
      <w:tr w:rsidR="00566911" w:rsidRPr="00012103" w14:paraId="45258955" w14:textId="77777777" w:rsidTr="002242D2">
        <w:trPr>
          <w:trHeight w:val="750"/>
          <w:jc w:val="center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2911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213582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Teraapiad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füüsilise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toetamiseks</w:t>
            </w:r>
            <w:proofErr w:type="spellEnd"/>
          </w:p>
        </w:tc>
        <w:tc>
          <w:tcPr>
            <w:tcW w:w="3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0EAF3D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Füsioteraapiline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teraapilised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füüsilise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tervise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7365B064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tagatakse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füüsilise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sooritusvõime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tegevuskeskkonnaga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seotud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hindamine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kohanduste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soovitamine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füüsilise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liigutuslikku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sooritusvõimet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iseseisvat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toimetulekut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arendavate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taastavate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säilitavate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juhiste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koostamine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rakendamise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Eesmärk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anda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teadmised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harjutused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mida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iseseisvalt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sooritada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1F2CE87D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Sisaldab ka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abivahendite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vajaduse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hindamist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sobivate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abivahendite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soovitamist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kasutama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õpetamist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spetsialisti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poolt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füsioterapeut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tegevusterapeut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vms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kellel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vastav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õigus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pädevus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).</w:t>
            </w:r>
          </w:p>
          <w:p w14:paraId="18DFB624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samuti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lähedaste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ergonoomiliste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abistamise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võtete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õpetamine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-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tegevuskeskkonnas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595B356E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Ei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sisalda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füsioteraapilist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ravi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passiivseid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). 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1D9933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</w:t>
            </w:r>
          </w:p>
          <w:p w14:paraId="598B0401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50</w:t>
            </w: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25</w:t>
            </w:r>
          </w:p>
        </w:tc>
      </w:tr>
      <w:tr w:rsidR="00566911" w:rsidRPr="00012103" w14:paraId="38C19E22" w14:textId="77777777" w:rsidTr="002242D2">
        <w:trPr>
          <w:trHeight w:val="750"/>
          <w:jc w:val="center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5C18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63D2DE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Liikumine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eluruumides</w:t>
            </w:r>
            <w:proofErr w:type="spellEnd"/>
          </w:p>
        </w:tc>
        <w:tc>
          <w:tcPr>
            <w:tcW w:w="3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9D79CC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Siirdumise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liikumise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elukeskkonnas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7356575B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Teenuskomponendiga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tagatakse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vajalik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vajadusel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abivahend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ka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vahetu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poolt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osutatav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füüsiline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teda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juhendatud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igapäevases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eluruumides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liikumiseks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tegutsemiseks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622C81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</w:t>
            </w:r>
          </w:p>
          <w:p w14:paraId="1B5220D0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50</w:t>
            </w:r>
          </w:p>
        </w:tc>
      </w:tr>
      <w:tr w:rsidR="00566911" w:rsidRPr="00012103" w14:paraId="08B95285" w14:textId="77777777" w:rsidTr="002242D2">
        <w:trPr>
          <w:trHeight w:val="525"/>
          <w:jc w:val="center"/>
        </w:trPr>
        <w:tc>
          <w:tcPr>
            <w:tcW w:w="4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C5EA2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275659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Liikumine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väljaspool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eluruume</w:t>
            </w:r>
            <w:proofErr w:type="spellEnd"/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288AF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Transpordi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kasutamise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transpordi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planeerimine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harjutamine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 Tugi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ühis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transpordi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kasutamisel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liikumisteede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planeerimine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harjutamine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). </w:t>
            </w:r>
          </w:p>
          <w:p w14:paraId="65672E11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Teenuskomponendiga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tagatakse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juhendamine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transpordi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kasutamise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planeerimise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Vajadusel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harjutatakse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kasutama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ühistransporti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läbima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uusi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teekondi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hirmude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maandamine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uutes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ärevust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tekitavates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olukordades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).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5F3F4E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</w:t>
            </w:r>
          </w:p>
          <w:p w14:paraId="5B0C7A36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50</w:t>
            </w: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25</w:t>
            </w:r>
          </w:p>
        </w:tc>
      </w:tr>
      <w:tr w:rsidR="00566911" w:rsidRPr="00012103" w14:paraId="5C3BC7F7" w14:textId="77777777" w:rsidTr="002242D2">
        <w:trPr>
          <w:trHeight w:val="1352"/>
          <w:jc w:val="center"/>
        </w:trPr>
        <w:tc>
          <w:tcPr>
            <w:tcW w:w="46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9F772E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Hõivatuse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komponent</w:t>
            </w:r>
            <w:proofErr w:type="spellEnd"/>
          </w:p>
          <w:p w14:paraId="28AC08C3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  <w:p w14:paraId="6AD8EDA4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Hõivatuse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komponendi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arvestuslik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isikupõhine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kalendriaasta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piirhind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2025-2026.a on 2280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eurot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F218D63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Töötamise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39DC84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Töötamise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toetamise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raames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toetatakse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abivajajat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otsimisel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ja/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säilitamisel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:</w:t>
            </w:r>
          </w:p>
          <w:p w14:paraId="77CD8DB7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a)    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töösuutlikkuse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hindamine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töösuutlikkuse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-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oskuste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ressursside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riskide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hindamine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kaardistamine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praktiliste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töötegevuste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käigus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sobivate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töövaldkondade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väljaselgitamine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;</w:t>
            </w:r>
            <w:proofErr w:type="gramEnd"/>
          </w:p>
          <w:p w14:paraId="23C2968D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b)    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vajaliku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toe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tööotsingute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planeerimine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;</w:t>
            </w:r>
            <w:proofErr w:type="gramEnd"/>
          </w:p>
          <w:p w14:paraId="7B165671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c)    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esmane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karjäärinõustamine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leidmiseks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säilitamiseks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tuleviku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planeerimiseks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;</w:t>
            </w:r>
            <w:proofErr w:type="gramEnd"/>
          </w:p>
          <w:p w14:paraId="22FF283C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d)    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leidmine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leidmisel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töötamiseks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vajalike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tugiteenuste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korraldamisel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vajadusel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koostöö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Töötukassaga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;</w:t>
            </w:r>
            <w:proofErr w:type="gramEnd"/>
          </w:p>
          <w:p w14:paraId="31B750F3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e)    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töötingimuste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kohaldamine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erivajadustest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lähtuvate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paindlike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sobivate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töötingimuste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töökeskkonna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loomise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Tööandjaga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suhtlemine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paindlike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vajadustele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vastavate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töötingimuste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korraldamiseks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tagamiseks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Tööandja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motiveerimine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sobivate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tingimuste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loomiseks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;</w:t>
            </w:r>
            <w:proofErr w:type="gramEnd"/>
          </w:p>
          <w:p w14:paraId="60A95B3C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f)     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juhendamine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tööga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alustamisel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töötamise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ajal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lõpetamisel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.</w:t>
            </w:r>
          </w:p>
          <w:p w14:paraId="5C1DE848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  <w:p w14:paraId="02650A0C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Töötamise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toetamise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võivad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toimuda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teenuseosutaja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juures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tööandja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juures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kohandatud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keskkonnas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-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tegevuskeskustes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3F137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40</w:t>
            </w:r>
          </w:p>
          <w:p w14:paraId="03D9F940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40</w:t>
            </w: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25</w:t>
            </w:r>
          </w:p>
        </w:tc>
      </w:tr>
      <w:tr w:rsidR="00566911" w:rsidRPr="00012103" w14:paraId="514B70A4" w14:textId="77777777" w:rsidTr="002242D2">
        <w:trPr>
          <w:trHeight w:val="1414"/>
          <w:jc w:val="center"/>
        </w:trPr>
        <w:tc>
          <w:tcPr>
            <w:tcW w:w="46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734603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51E7E2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sz w:val="18"/>
                <w:szCs w:val="18"/>
                <w:lang w:eastAsia="et-EE"/>
              </w:rPr>
              <w:t>Töösarnase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156082" w:themeColor="accent1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rakendus-tegevuse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spetsiaalselt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kohandatud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keskkonnas</w:t>
            </w:r>
            <w:proofErr w:type="spellEnd"/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39C09C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Töösarnase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rakendusliku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tegevuse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teostamise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võimalus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turvalises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kohandatud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keskkonnas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kus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saab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teha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võimetekohaseid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ülesandeid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jõukohases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tempos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sealjuures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on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tagatud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vajalikus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ulatuses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juhendamine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abi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. </w:t>
            </w:r>
          </w:p>
          <w:p w14:paraId="149F1616" w14:textId="77777777" w:rsidR="00566911" w:rsidRPr="00012103" w:rsidRDefault="00566911" w:rsidP="002242D2">
            <w:pPr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  <w:p w14:paraId="361F15BF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Töösarnased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tegevused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toimuvad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teenuseosutaja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juures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kohandatud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keskkonnas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töö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-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tegevuskeskustes</w:t>
            </w:r>
            <w:proofErr w:type="spellEnd"/>
            <w:r w:rsidRPr="00012103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 xml:space="preserve">. 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920C5D" w14:textId="39BDD8DC" w:rsidR="00566911" w:rsidRPr="00012103" w:rsidRDefault="00566911" w:rsidP="002242D2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– </w:t>
            </w:r>
            <w:proofErr w:type="spellStart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ei</w:t>
            </w:r>
            <w:proofErr w:type="spellEnd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osuta</w:t>
            </w:r>
            <w:proofErr w:type="spellEnd"/>
          </w:p>
          <w:p w14:paraId="3AF12CAB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566911" w:rsidRPr="00012103" w14:paraId="44C9C87D" w14:textId="77777777" w:rsidTr="002242D2">
        <w:trPr>
          <w:trHeight w:val="1125"/>
          <w:jc w:val="center"/>
        </w:trPr>
        <w:tc>
          <w:tcPr>
            <w:tcW w:w="46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2D1938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1B2D6ACA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Õppimise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667B0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Õppimise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õpivõimaluste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leidmisel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õpingute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alustamisel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säilitamisel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4E89DB56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Õppimistingimuste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kohaldamine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erivajadustest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lähtuvate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paindlike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sobivate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õppimistingimuste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-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keskkonna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loomise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19B04364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Vajadusel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hariduse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tugiteenuste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korraldamine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16224E" w14:textId="6AEEEDF5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40</w:t>
            </w:r>
          </w:p>
          <w:p w14:paraId="5E2ECF0B" w14:textId="21B4F8EC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40</w:t>
            </w: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25</w:t>
            </w:r>
          </w:p>
        </w:tc>
      </w:tr>
      <w:tr w:rsidR="00566911" w:rsidRPr="00012103" w14:paraId="286E4BC9" w14:textId="77777777" w:rsidTr="002242D2">
        <w:trPr>
          <w:trHeight w:val="800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480B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617F4C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Rakendus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kogukonnas</w:t>
            </w:r>
            <w:proofErr w:type="spellEnd"/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7461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Vabatahtliku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töö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muude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võimaluste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leidmine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kogukonda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panustamiseks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vabatahtliku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leidmine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Juhendamine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kogukonna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liitumisel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8B0C" w14:textId="3BDA84C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40</w:t>
            </w:r>
          </w:p>
          <w:p w14:paraId="3299A8F7" w14:textId="77777777" w:rsidR="00062FAB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40</w:t>
            </w:r>
          </w:p>
          <w:p w14:paraId="4A513515" w14:textId="26F0CE61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25</w:t>
            </w:r>
          </w:p>
        </w:tc>
      </w:tr>
      <w:tr w:rsidR="00566911" w:rsidRPr="00012103" w14:paraId="325C1589" w14:textId="77777777" w:rsidTr="002242D2">
        <w:trPr>
          <w:trHeight w:val="27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19BD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Vaba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aja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huvitegevuse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komponent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0E3894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Vaba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aja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huvitegevuse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9D8C8F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Vaba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aja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sisustamine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huvitegevuse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leidmine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säilitamine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Puhkuse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hõive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töö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rakenduse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vahelise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tasakaalu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hoidmine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72264175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Huviringides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tegevuskeskuses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kogukonnas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40AA1AEB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Tugi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huviringi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valimisel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sinna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kohale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jõudmisel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ning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liitumisel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58D7751F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Individuaalse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huvitegevuse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kogukondlikes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pakkuvates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asutustes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liitumisel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B5189A" w14:textId="11D3E654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40</w:t>
            </w:r>
          </w:p>
          <w:p w14:paraId="230F0401" w14:textId="77777777" w:rsidR="00062FAB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40</w:t>
            </w:r>
          </w:p>
          <w:p w14:paraId="2A7DACD4" w14:textId="7DB398C3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20</w:t>
            </w:r>
          </w:p>
        </w:tc>
      </w:tr>
      <w:tr w:rsidR="00566911" w:rsidRPr="00012103" w14:paraId="11BCC3DC" w14:textId="77777777" w:rsidTr="002242D2">
        <w:trPr>
          <w:trHeight w:val="154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2FE6A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Elukoha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komponent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D6F397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Toetus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elukoha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vahetusel</w:t>
            </w:r>
            <w:proofErr w:type="spellEnd"/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9B7B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Sobivama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elamispinna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korraldamine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nõustamine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sobiva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elamispinna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eluasemega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seotud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teenuse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valikul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võimalike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elamispindadega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teenuskohtadega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tutvumine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kohapeal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.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sobivama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elamispinna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organiseerimiseks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kui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olemasolev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eluase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raskendab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taastumist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toimetulekut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46989D4B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Kolimisplaan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üleminekuplaan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kolimise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planeerimine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koostöös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abivajaja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tegevusplaani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koostamine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kolimisega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seotud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praktiliste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küsimuste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lahendamiseks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sujuvaks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üleminekuks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67D71764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Praktiline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kolimise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teostamiseks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(transport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).</w:t>
            </w:r>
          </w:p>
          <w:p w14:paraId="41A94CAB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Uue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elukeskkonnaga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tutvumine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vajadusel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juba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eelnevalt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kogukonna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ümbrusega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tutvumine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EF00D5" w14:textId="6BC86AC3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45</w:t>
            </w:r>
          </w:p>
          <w:p w14:paraId="69FFB482" w14:textId="61624929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45</w:t>
            </w:r>
          </w:p>
        </w:tc>
      </w:tr>
      <w:tr w:rsidR="00566911" w:rsidRPr="00012103" w14:paraId="24B41E76" w14:textId="77777777" w:rsidTr="002242D2">
        <w:trPr>
          <w:trHeight w:val="2069"/>
          <w:jc w:val="center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2803A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Igapäevaelu</w:t>
            </w:r>
            <w:proofErr w:type="spellEnd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komponent</w:t>
            </w:r>
            <w:proofErr w:type="spellEnd"/>
          </w:p>
          <w:p w14:paraId="07EDF87B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623E21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Igapäevaelu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</w:p>
        </w:tc>
        <w:tc>
          <w:tcPr>
            <w:tcW w:w="3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61B7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Tugi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vastavalt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vajadusele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võimekusele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350F6845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Igapäevaelu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raames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toetatakse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inimest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vastavalt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vajadustele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võimekusele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meeldetuletus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juhendamine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hooldus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)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alljärgnevates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igapäevaelu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valdkondades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:</w:t>
            </w:r>
          </w:p>
          <w:p w14:paraId="2B200126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a)    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söömise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söögitegemise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poes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käimisel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toidu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valmistamisel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söömisel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05D8DFBB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b)    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enese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eest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hoolitsemise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hügieenitoimingutes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riietumisel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6C0BC300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c)     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majapidamistoimingute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koristamisel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pesu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pesemisel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jm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elukoha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eest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hoolitsemisega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seotud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toimingutes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1A44CE70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d)    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rahadega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toimetuleku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tugi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eelarve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planeerimisel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raha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kasutamisel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rahaliste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toimingute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pangateenuste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kasutamisel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arvete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tasumisel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võlgade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tekkimise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vältimine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;</w:t>
            </w:r>
            <w:proofErr w:type="gramEnd"/>
          </w:p>
          <w:p w14:paraId="5CB066D8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e)    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asjaajamise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suhtlus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ametiasutuste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erinevate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teenuseosutajatega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proofErr w:type="gram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regulaarsed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tegevused</w:t>
            </w:r>
            <w:proofErr w:type="spellEnd"/>
            <w:proofErr w:type="gram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sissetuleku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tagamiseks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nt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KOV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toimetulekutoetuse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taotlemisel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abistamine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66433C" w14:textId="3F9737AF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40</w:t>
            </w:r>
          </w:p>
          <w:p w14:paraId="1B517D05" w14:textId="77777777" w:rsidR="00062FAB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40</w:t>
            </w:r>
          </w:p>
          <w:p w14:paraId="4C2E3BAC" w14:textId="1AFE63E8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20</w:t>
            </w:r>
          </w:p>
        </w:tc>
      </w:tr>
      <w:tr w:rsidR="00566911" w:rsidRPr="00012103" w14:paraId="0A5EC2CA" w14:textId="77777777" w:rsidTr="002242D2">
        <w:trPr>
          <w:trHeight w:val="1270"/>
          <w:jc w:val="center"/>
        </w:trPr>
        <w:tc>
          <w:tcPr>
            <w:tcW w:w="4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15AB4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0169F5" w14:textId="77777777" w:rsidR="00566911" w:rsidRPr="00012103" w:rsidRDefault="00566911" w:rsidP="002242D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Ettevalmistus</w:t>
            </w:r>
            <w:proofErr w:type="spellEnd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t-EE"/>
              </w:rPr>
              <w:t>iseseisvumiseks</w:t>
            </w:r>
            <w:proofErr w:type="spellEnd"/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AA92E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Iseseisvuskursus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iseseisva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(ma)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toimetulekuks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vajalike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oskuste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arendamine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kursuse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/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laagri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individuaal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grupitöö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viisil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20492700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Iseseisva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harjutamine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ajutisel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elamispinnal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  <w:p w14:paraId="3169E3F2" w14:textId="77777777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Kohanemise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toetamine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-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üleminekut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võimaldav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ja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kohanemist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toetav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sh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uue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teenuse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osutajaga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tutvumise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periood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, mis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tagaks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sujuvama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ülemineku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teenuste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vahel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5A968D" w14:textId="3774263D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projektis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osalejaga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40</w:t>
            </w:r>
          </w:p>
          <w:p w14:paraId="0A35A082" w14:textId="77777777" w:rsidR="00062FAB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pereliikmega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40</w:t>
            </w:r>
          </w:p>
          <w:p w14:paraId="1C4E7EAF" w14:textId="54E854E4" w:rsidR="00566911" w:rsidRPr="00012103" w:rsidRDefault="00566911" w:rsidP="002242D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Tegevus</w:t>
            </w:r>
            <w:proofErr w:type="spellEnd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01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grupis</w:t>
            </w:r>
            <w:proofErr w:type="spellEnd"/>
            <w:r w:rsidR="00062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 xml:space="preserve"> 20</w:t>
            </w:r>
          </w:p>
        </w:tc>
      </w:tr>
    </w:tbl>
    <w:p w14:paraId="7063703C" w14:textId="77777777" w:rsidR="00566911" w:rsidRPr="00DB5C42" w:rsidRDefault="00566911" w:rsidP="00566911">
      <w:pPr>
        <w:rPr>
          <w:rFonts w:ascii="Times New Roman" w:hAnsi="Times New Roman" w:cs="Times New Roman"/>
          <w:lang w:val="et-EE"/>
        </w:rPr>
      </w:pPr>
    </w:p>
    <w:p w14:paraId="31D5981F" w14:textId="77777777" w:rsidR="00566911" w:rsidRDefault="00566911" w:rsidP="00566911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6A39AD82" w14:textId="77777777" w:rsidR="00566911" w:rsidRPr="008559F6" w:rsidRDefault="00566911" w:rsidP="00566911">
      <w:pPr>
        <w:rPr>
          <w:rFonts w:ascii="Arial" w:hAnsi="Arial" w:cs="Arial"/>
          <w:sz w:val="22"/>
          <w:szCs w:val="22"/>
          <w:lang w:val="et-EE"/>
        </w:rPr>
      </w:pPr>
    </w:p>
    <w:sectPr w:rsidR="00566911" w:rsidRPr="008559F6" w:rsidSect="00566911">
      <w:pgSz w:w="16840" w:h="11900" w:orient="landscape"/>
      <w:pgMar w:top="141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2E7A"/>
    <w:multiLevelType w:val="hybridMultilevel"/>
    <w:tmpl w:val="81CE51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27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11"/>
    <w:rsid w:val="00062FAB"/>
    <w:rsid w:val="005570A4"/>
    <w:rsid w:val="00566911"/>
    <w:rsid w:val="005D3B8F"/>
    <w:rsid w:val="006F0E8E"/>
    <w:rsid w:val="008F04D9"/>
    <w:rsid w:val="00AD784E"/>
    <w:rsid w:val="00B1085C"/>
    <w:rsid w:val="00B669D4"/>
    <w:rsid w:val="00D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4BC6"/>
  <w15:chartTrackingRefBased/>
  <w15:docId w15:val="{1EF18AD6-5A90-48E7-9472-9423CF30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11"/>
    <w:pPr>
      <w:spacing w:after="0" w:line="240" w:lineRule="auto"/>
    </w:pPr>
    <w:rPr>
      <w:rFonts w:asciiTheme="minorHAnsi" w:eastAsiaTheme="minorEastAsia" w:hAnsiTheme="minorHAnsi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9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9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9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9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9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9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9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9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9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66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0E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2419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Laanemets</dc:creator>
  <cp:keywords/>
  <dc:description/>
  <cp:lastModifiedBy>Kai-Ly Sankovski</cp:lastModifiedBy>
  <cp:revision>4</cp:revision>
  <dcterms:created xsi:type="dcterms:W3CDTF">2024-12-26T15:11:00Z</dcterms:created>
  <dcterms:modified xsi:type="dcterms:W3CDTF">2025-01-22T13:18:00Z</dcterms:modified>
</cp:coreProperties>
</file>